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F9" w:rsidRPr="001F4BF9" w:rsidRDefault="001F4BF9" w:rsidP="001F4BF9">
      <w:pPr>
        <w:widowControl/>
        <w:shd w:val="clear" w:color="auto" w:fill="FEFEFE"/>
        <w:spacing w:line="540" w:lineRule="atLeast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1F4BF9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中国银保监会关于调整</w:t>
      </w:r>
      <w:proofErr w:type="gramStart"/>
      <w:r w:rsidRPr="001F4BF9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交强险</w:t>
      </w:r>
      <w:proofErr w:type="gramEnd"/>
      <w:r w:rsidRPr="001F4BF9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责任限额和费率浮动系数的公告</w:t>
      </w:r>
    </w:p>
    <w:p w:rsidR="001F4BF9" w:rsidRPr="001F4BF9" w:rsidRDefault="001F4BF9" w:rsidP="001F4BF9">
      <w:pPr>
        <w:widowControl/>
        <w:shd w:val="clear" w:color="auto" w:fill="FEFEFE"/>
        <w:spacing w:line="56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根据《</w:t>
      </w: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机动车交通事故责任强制保险条例</w:t>
      </w: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》的有关规定，在广泛征求意见的基础上，银保监</w:t>
      </w:r>
      <w:proofErr w:type="gramStart"/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会</w:t>
      </w:r>
      <w:proofErr w:type="gramEnd"/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会同</w:t>
      </w: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公安部、卫生健康委、农业农村部确定了</w:t>
      </w: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机动车交通事故责任强制保险（以下简称</w:t>
      </w:r>
      <w:proofErr w:type="gramStart"/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交强险</w:t>
      </w:r>
      <w:proofErr w:type="gramEnd"/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）责任限额的调整方案，会同</w:t>
      </w: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公安部确定了</w:t>
      </w:r>
      <w:proofErr w:type="gramStart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交强险</w:t>
      </w:r>
      <w:proofErr w:type="gramEnd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费率浮动系数的</w:t>
      </w: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调整方案，现将有关调整内容公告如下:</w:t>
      </w:r>
    </w:p>
    <w:p w:rsidR="001F4BF9" w:rsidRPr="001F4BF9" w:rsidRDefault="001F4BF9" w:rsidP="001F4BF9">
      <w:pPr>
        <w:widowControl/>
        <w:shd w:val="clear" w:color="auto" w:fill="FEFEFE"/>
        <w:spacing w:line="56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一、</w:t>
      </w:r>
      <w:proofErr w:type="gramStart"/>
      <w:r w:rsidRPr="001F4BF9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新交强险责任</w:t>
      </w:r>
      <w:proofErr w:type="gramEnd"/>
      <w:r w:rsidRPr="001F4BF9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限额方案</w:t>
      </w:r>
    </w:p>
    <w:p w:rsidR="001F4BF9" w:rsidRPr="001F4BF9" w:rsidRDefault="001F4BF9" w:rsidP="001F4BF9">
      <w:pPr>
        <w:widowControl/>
        <w:shd w:val="clear" w:color="auto" w:fill="FEFEFE"/>
        <w:spacing w:line="560" w:lineRule="atLeast"/>
        <w:ind w:firstLine="64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在中华人民共和国境内（不含港、澳、台地区），被保险人在使用被保险机动车过程中发生交通事故，致使受害人遭受人身伤亡或者财产损失，依法应当由被保险人承担的损害赔偿责任，每次事故责任限额为：死亡伤残赔偿限额18万元，医疗费用赔偿限额1.8万元，财产损失赔偿限额0.2万元。被保险人无责任时，死亡伤残赔偿限额1.8万元，医疗费用赔偿限额1800元，财产损失赔偿限额100元。</w:t>
      </w:r>
    </w:p>
    <w:p w:rsidR="001F4BF9" w:rsidRPr="001F4BF9" w:rsidRDefault="001F4BF9" w:rsidP="001F4BF9">
      <w:pPr>
        <w:widowControl/>
        <w:shd w:val="clear" w:color="auto" w:fill="FEFEFE"/>
        <w:spacing w:line="56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二、</w:t>
      </w:r>
      <w:proofErr w:type="gramStart"/>
      <w:r w:rsidRPr="001F4BF9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新交强险费率</w:t>
      </w:r>
      <w:proofErr w:type="gramEnd"/>
      <w:r w:rsidRPr="001F4BF9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浮动系数方案</w:t>
      </w:r>
    </w:p>
    <w:p w:rsidR="001F4BF9" w:rsidRPr="001F4BF9" w:rsidRDefault="001F4BF9" w:rsidP="001F4BF9">
      <w:pPr>
        <w:widowControl/>
        <w:shd w:val="clear" w:color="auto" w:fill="FEFEFE"/>
        <w:spacing w:line="56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（一）将《机动车交通事故责任强制保险费率浮动暂行办法》（以下简称《暂行办法》）第三条修改如下: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1.内蒙古、海南、青海、西藏4个地区实行以下费率调整方案A：</w:t>
      </w:r>
    </w:p>
    <w:tbl>
      <w:tblPr>
        <w:tblW w:w="8719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845"/>
        <w:gridCol w:w="1632"/>
      </w:tblGrid>
      <w:tr w:rsidR="001F4BF9" w:rsidRPr="001F4BF9" w:rsidTr="001F4BF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浮动因素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浮动比率</w:t>
            </w:r>
          </w:p>
        </w:tc>
      </w:tr>
      <w:tr w:rsidR="001F4BF9" w:rsidRPr="001F4BF9" w:rsidTr="001F4BF9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与道路交通事故相联系的浮动方案A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A1,上一个年度未发生有责任道路交通事故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-30%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A2,上两个年度未发生有责任道路交通事故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-40%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A3,上三个及以上年度未发生有责任道路交通事故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-50%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A4,上一个年度发生一次有责任不涉及死亡的道路交通事故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A5,上一个年度发生两次及两次以上有责任道路交通事故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A6,上一个年度发生有责任道路交通死亡事故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30%</w:t>
            </w:r>
          </w:p>
        </w:tc>
      </w:tr>
    </w:tbl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2.陕西、云南、广西3个地区实行以下费率调整方案B：</w:t>
      </w:r>
    </w:p>
    <w:tbl>
      <w:tblPr>
        <w:tblW w:w="869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905"/>
        <w:gridCol w:w="1548"/>
      </w:tblGrid>
      <w:tr w:rsidR="001F4BF9" w:rsidRPr="001F4BF9" w:rsidTr="001F4BF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浮动因素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浮动比率</w:t>
            </w:r>
          </w:p>
        </w:tc>
      </w:tr>
      <w:tr w:rsidR="001F4BF9" w:rsidRPr="001F4BF9" w:rsidTr="001F4BF9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与道路交通事故相联系的浮动方案B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B1,上一个年度未发生有责任道路交通事故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-25%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B2,上两个年度未发生有责任道路交通事故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-35%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B3,上三个及以上年度未发生有责任道路交通事故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-45%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B4,上一个年度发生一次有责任不涉及死亡的道路交通事故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B5,上一个年度发生两次及两次以上有责任道路交通事故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B6,上一个年度发生有责任道路交通死亡事故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30%</w:t>
            </w:r>
          </w:p>
        </w:tc>
      </w:tr>
    </w:tbl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3.甘肃、吉林、山西、黑龙江、新疆5个地区实行以下费率调</w:t>
      </w:r>
      <w:proofErr w:type="gramStart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整方案</w:t>
      </w:r>
      <w:proofErr w:type="gramEnd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C：</w:t>
      </w:r>
    </w:p>
    <w:tbl>
      <w:tblPr>
        <w:tblW w:w="8671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893"/>
        <w:gridCol w:w="1536"/>
      </w:tblGrid>
      <w:tr w:rsidR="001F4BF9" w:rsidRPr="001F4BF9" w:rsidTr="001F4BF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浮动因素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浮动比率</w:t>
            </w:r>
          </w:p>
        </w:tc>
      </w:tr>
      <w:tr w:rsidR="001F4BF9" w:rsidRPr="001F4BF9" w:rsidTr="001F4BF9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与道路交通事故相联系的浮动方案C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C1,上一个年度未发生有责任道路交通事故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-20%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C2,上两个年度未发生有责任道路交通事故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-30%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C3,上三个及以上年度未发生有责任道路交通事故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-40%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C4,上一个年度发生一次有责任不涉及死亡的道路交通事故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C5,上一个年度发生两次及两次以上有责任道路交通事故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C6,上一个年度发生有责任道路交通死亡事故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30%</w:t>
            </w:r>
          </w:p>
        </w:tc>
      </w:tr>
    </w:tbl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4.北京、天津、河北、宁夏4个地区实行以下费率调整方案D：</w:t>
      </w:r>
    </w:p>
    <w:tbl>
      <w:tblPr>
        <w:tblW w:w="8683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869"/>
        <w:gridCol w:w="1572"/>
      </w:tblGrid>
      <w:tr w:rsidR="001F4BF9" w:rsidRPr="001F4BF9" w:rsidTr="001F4BF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浮动因素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浮动比率</w:t>
            </w:r>
          </w:p>
        </w:tc>
      </w:tr>
      <w:tr w:rsidR="001F4BF9" w:rsidRPr="001F4BF9" w:rsidTr="001F4BF9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与道路交通事故相联系的浮动方案D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D1,上一个年度未发生有责任道路交通事故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-15%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D2,上两个年度未发生有责任道路交通事故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-25%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D3,上三个及以上年度未发生有责任道路交通事故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-35%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D4,上一个年度发生一次有责任不涉及死亡的道路交通事故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D5,上一个年度发生两次及两次以上有责任道路交通事故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D6,上一个年度发生有责任道路交通死亡事故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30%</w:t>
            </w:r>
          </w:p>
        </w:tc>
      </w:tr>
    </w:tbl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lastRenderedPageBreak/>
        <w:t>5.江苏、浙江、安徽、上海、湖南、湖北、江西、辽宁、河南、福建、重庆、山东、广东、深圳、厦门、四川、贵州、大连、青岛、宁波20个地区实行以下费率调整方案E：</w:t>
      </w:r>
    </w:p>
    <w:tbl>
      <w:tblPr>
        <w:tblW w:w="8522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670"/>
        <w:gridCol w:w="1610"/>
      </w:tblGrid>
      <w:tr w:rsidR="001F4BF9" w:rsidRPr="001F4BF9" w:rsidTr="001F4BF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浮动因素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浮动比率</w:t>
            </w:r>
          </w:p>
        </w:tc>
      </w:tr>
      <w:tr w:rsidR="001F4BF9" w:rsidRPr="001F4BF9" w:rsidTr="001F4BF9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与道路交通事故相联系的浮动方案E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E1,上一个年度未发生有责任道路交通事故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-10%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E2,上两个年度未发生有责任道路交通事故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-20%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E3,上三个及以上年度未发生有责任道路交通事故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-30%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E4,上一个年度发生一次有责任不涉及死亡的道路交通事故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E5,上一个年度发生两次及两次以上有责任道路交通事故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10%</w:t>
            </w:r>
          </w:p>
        </w:tc>
      </w:tr>
      <w:tr w:rsidR="001F4BF9" w:rsidRPr="001F4BF9" w:rsidTr="001F4BF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1F4BF9" w:rsidRPr="001F4BF9" w:rsidRDefault="001F4BF9" w:rsidP="001F4BF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403F3D"/>
                <w:kern w:val="0"/>
                <w:sz w:val="24"/>
                <w:szCs w:val="24"/>
              </w:rPr>
              <w:t>E6,上一个年度发生有责任道路交通死亡事故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F9" w:rsidRPr="001F4BF9" w:rsidRDefault="001F4BF9" w:rsidP="001F4BF9">
            <w:pPr>
              <w:widowControl/>
              <w:ind w:firstLine="7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F4BF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30%</w:t>
            </w:r>
          </w:p>
        </w:tc>
      </w:tr>
    </w:tbl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（二）将</w:t>
      </w: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《暂行办法》</w:t>
      </w: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第四条修改为：“交强险最终保险费计算方法是：交强险最终保险费=交强险基础保险费×（1+与道路交通事故相联系的浮动比率X,X取ABCDE方案其中之一对应的值）。”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（三）将</w:t>
      </w:r>
      <w:r w:rsidRPr="001F4BF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《暂行办法》</w:t>
      </w: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第七条修改为：“与道路交通事故相联系的浮动比率X为X1至</w:t>
      </w:r>
      <w:bookmarkStart w:id="0" w:name="_GoBack"/>
      <w:bookmarkEnd w:id="0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X6其中之一，不累加。同时满足多个浮动因素的，按照向上浮动或者向下浮动比率的高者计算。”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三、新方案实行时间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上述责任限额和费率浮动系数从2020年9月19日零时起实行。截至2020年9月19日零时保险期间尚未结束的</w:t>
      </w:r>
      <w:proofErr w:type="gramStart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交强险</w:t>
      </w:r>
      <w:proofErr w:type="gramEnd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保单项下的机动车在2020年9月19日零时后发生道路交通事故的，按照新的责任限额执行；在2020年9月19日零时前发生道路交通事故的，仍按</w:t>
      </w:r>
      <w:proofErr w:type="gramStart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原责任</w:t>
      </w:r>
      <w:proofErr w:type="gramEnd"/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限额执行。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特此公告。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jc w:val="righ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lastRenderedPageBreak/>
        <w:t>中国银保监会</w:t>
      </w:r>
    </w:p>
    <w:p w:rsidR="001F4BF9" w:rsidRPr="001F4BF9" w:rsidRDefault="001F4BF9" w:rsidP="001F4BF9">
      <w:pPr>
        <w:widowControl/>
        <w:shd w:val="clear" w:color="auto" w:fill="FEFEFE"/>
        <w:spacing w:line="640" w:lineRule="atLeast"/>
        <w:ind w:firstLine="720"/>
        <w:jc w:val="righ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F4BF9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2020年9月9 日</w:t>
      </w:r>
    </w:p>
    <w:p w:rsidR="00B30514" w:rsidRPr="001F4BF9" w:rsidRDefault="00B30514">
      <w:pPr>
        <w:rPr>
          <w:sz w:val="28"/>
          <w:szCs w:val="28"/>
        </w:rPr>
      </w:pPr>
    </w:p>
    <w:sectPr w:rsidR="00B30514" w:rsidRPr="001F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8"/>
    <w:rsid w:val="000B4B28"/>
    <w:rsid w:val="001F4BF9"/>
    <w:rsid w:val="00B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46EF"/>
  <w15:chartTrackingRefBased/>
  <w15:docId w15:val="{B926D105-C455-489C-99C5-BA9E006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1708</Characters>
  <Application>Microsoft Office Word</Application>
  <DocSecurity>0</DocSecurity>
  <Lines>14</Lines>
  <Paragraphs>4</Paragraphs>
  <ScaleCrop>false</ScaleCrop>
  <Company>Win10NeT.COM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2020-09-13T15:40:00Z</dcterms:created>
  <dcterms:modified xsi:type="dcterms:W3CDTF">2020-09-13T15:42:00Z</dcterms:modified>
</cp:coreProperties>
</file>